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08" w:rsidRPr="00595E48" w:rsidRDefault="0015579A" w:rsidP="00595E48">
      <w:r>
        <w:rPr>
          <w:rFonts w:ascii="Calibri" w:hAnsi="Calibri" w:cs="Calibri"/>
          <w:color w:val="ED7D31" w:themeColor="accent2"/>
          <w:sz w:val="28"/>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-393065</wp:posOffset>
            </wp:positionV>
            <wp:extent cx="1085850" cy="1219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MR LOGO.png"/>
                    <pic:cNvPicPr/>
                  </pic:nvPicPr>
                  <pic:blipFill rotWithShape="1">
                    <a:blip r:embed="rId6" cstate="print">
                      <a:extLst>
                        <a:ext uri="{28A0092B-C50C-407E-A947-70E740481C1C}">
                          <a14:useLocalDpi xmlns:a14="http://schemas.microsoft.com/office/drawing/2010/main" val="0"/>
                        </a:ext>
                      </a:extLst>
                    </a:blip>
                    <a:srcRect l="13750" t="11250" r="15000" b="8750"/>
                    <a:stretch/>
                  </pic:blipFill>
                  <pic:spPr bwMode="auto">
                    <a:xfrm>
                      <a:off x="0" y="0"/>
                      <a:ext cx="108585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275D" w:rsidRDefault="0019275D" w:rsidP="001446E4">
      <w:pPr>
        <w:pStyle w:val="NormalWeb"/>
        <w:shd w:val="clear" w:color="auto" w:fill="FFFFFF"/>
        <w:spacing w:before="0" w:beforeAutospacing="0" w:after="360" w:afterAutospacing="0"/>
        <w:jc w:val="center"/>
        <w:rPr>
          <w:rFonts w:ascii="Calibri" w:hAnsi="Calibri" w:cs="Calibri"/>
          <w:color w:val="ED7D31" w:themeColor="accent2"/>
          <w:sz w:val="28"/>
        </w:rPr>
      </w:pPr>
    </w:p>
    <w:p w:rsidR="0019275D" w:rsidRPr="001446E4" w:rsidRDefault="0019275D" w:rsidP="001446E4">
      <w:pPr>
        <w:pStyle w:val="NormalWeb"/>
        <w:shd w:val="clear" w:color="auto" w:fill="FFFFFF"/>
        <w:spacing w:before="0" w:beforeAutospacing="0" w:after="360" w:afterAutospacing="0"/>
        <w:jc w:val="center"/>
        <w:rPr>
          <w:rFonts w:ascii="Calibri" w:hAnsi="Calibri" w:cs="Calibri"/>
          <w:color w:val="ED7D31" w:themeColor="accent2"/>
          <w:sz w:val="28"/>
        </w:rPr>
      </w:pPr>
    </w:p>
    <w:tbl>
      <w:tblPr>
        <w:tblStyle w:val="Grilledutableau"/>
        <w:tblW w:w="15536" w:type="dxa"/>
        <w:tblLook w:val="04A0" w:firstRow="1" w:lastRow="0" w:firstColumn="1" w:lastColumn="0" w:noHBand="0" w:noVBand="1"/>
      </w:tblPr>
      <w:tblGrid>
        <w:gridCol w:w="3144"/>
        <w:gridCol w:w="12392"/>
      </w:tblGrid>
      <w:tr w:rsidR="00606F40" w:rsidTr="000001C7">
        <w:trPr>
          <w:trHeight w:val="993"/>
        </w:trPr>
        <w:tc>
          <w:tcPr>
            <w:tcW w:w="15536" w:type="dxa"/>
            <w:gridSpan w:val="2"/>
          </w:tcPr>
          <w:p w:rsidR="00606F40" w:rsidRDefault="00E548B3" w:rsidP="0023233A">
            <w:pPr>
              <w:pStyle w:val="NormalWeb"/>
              <w:shd w:val="clear" w:color="auto" w:fill="FFFFFF"/>
              <w:spacing w:before="0" w:beforeAutospacing="0" w:after="0" w:afterAutospacing="0"/>
              <w:jc w:val="both"/>
              <w:rPr>
                <w:rFonts w:asciiTheme="minorHAnsi" w:hAnsiTheme="minorHAnsi" w:cstheme="minorHAnsi"/>
                <w:color w:val="000000"/>
                <w:szCs w:val="22"/>
              </w:rPr>
            </w:pPr>
            <w:r w:rsidRPr="0023233A">
              <w:rPr>
                <w:rFonts w:asciiTheme="minorHAnsi" w:hAnsiTheme="minorHAnsi" w:cstheme="minorHAnsi"/>
                <w:b/>
                <w:color w:val="00B050"/>
                <w:szCs w:val="22"/>
              </w:rPr>
              <w:t>L’Etablissement Public de Santé Mental</w:t>
            </w:r>
            <w:r w:rsidR="001B168A" w:rsidRPr="0023233A">
              <w:rPr>
                <w:rFonts w:asciiTheme="minorHAnsi" w:hAnsiTheme="minorHAnsi" w:cstheme="minorHAnsi"/>
                <w:b/>
                <w:color w:val="00B050"/>
                <w:szCs w:val="22"/>
              </w:rPr>
              <w:t>e</w:t>
            </w:r>
            <w:r w:rsidRPr="0023233A">
              <w:rPr>
                <w:rFonts w:asciiTheme="minorHAnsi" w:hAnsiTheme="minorHAnsi" w:cstheme="minorHAnsi"/>
                <w:color w:val="00B050"/>
                <w:szCs w:val="22"/>
              </w:rPr>
              <w:t xml:space="preserve"> </w:t>
            </w:r>
            <w:r w:rsidR="0023233A">
              <w:rPr>
                <w:rFonts w:asciiTheme="minorHAnsi" w:hAnsiTheme="minorHAnsi" w:cstheme="minorHAnsi"/>
                <w:color w:val="000000"/>
                <w:szCs w:val="22"/>
              </w:rPr>
              <w:t xml:space="preserve">recherche </w:t>
            </w:r>
          </w:p>
          <w:p w:rsidR="00527A5C" w:rsidRDefault="00527A5C" w:rsidP="0023233A">
            <w:pPr>
              <w:pStyle w:val="NormalWeb"/>
              <w:shd w:val="clear" w:color="auto" w:fill="FFFFFF"/>
              <w:spacing w:before="0" w:beforeAutospacing="0" w:after="0" w:afterAutospacing="0"/>
              <w:jc w:val="both"/>
              <w:rPr>
                <w:rFonts w:asciiTheme="minorHAnsi" w:hAnsiTheme="minorHAnsi" w:cstheme="minorHAnsi"/>
                <w:color w:val="000000"/>
                <w:szCs w:val="22"/>
              </w:rPr>
            </w:pPr>
          </w:p>
          <w:p w:rsidR="00527A5C" w:rsidRDefault="00527A5C" w:rsidP="00527A5C">
            <w:pPr>
              <w:pStyle w:val="NormalWeb"/>
              <w:shd w:val="clear" w:color="auto" w:fill="FFFFFF"/>
              <w:spacing w:before="0" w:beforeAutospacing="0" w:after="0" w:afterAutospacing="0"/>
              <w:jc w:val="center"/>
              <w:rPr>
                <w:rFonts w:ascii="Arial" w:hAnsi="Arial" w:cs="Arial"/>
                <w:color w:val="7E8186"/>
                <w:sz w:val="21"/>
                <w:szCs w:val="21"/>
              </w:rPr>
            </w:pPr>
            <w:proofErr w:type="spellStart"/>
            <w:r>
              <w:rPr>
                <w:rFonts w:ascii="Arial" w:hAnsi="Arial" w:cs="Arial"/>
                <w:color w:val="7E8186"/>
                <w:sz w:val="21"/>
                <w:szCs w:val="21"/>
              </w:rPr>
              <w:t>Un·e</w:t>
            </w:r>
            <w:proofErr w:type="spellEnd"/>
            <w:r>
              <w:rPr>
                <w:rFonts w:ascii="Arial" w:hAnsi="Arial" w:cs="Arial"/>
                <w:color w:val="7E8186"/>
                <w:sz w:val="21"/>
                <w:szCs w:val="21"/>
              </w:rPr>
              <w:t xml:space="preserve"> </w:t>
            </w:r>
            <w:r w:rsidRPr="00527A5C">
              <w:rPr>
                <w:rFonts w:ascii="Arial" w:hAnsi="Arial" w:cs="Arial"/>
                <w:color w:val="7E8186"/>
                <w:sz w:val="21"/>
                <w:szCs w:val="21"/>
              </w:rPr>
              <w:t>Responsable de la gestion administrative et financière des Fonds Européens - GHT</w:t>
            </w:r>
          </w:p>
        </w:tc>
      </w:tr>
      <w:tr w:rsidR="00E4198F" w:rsidRPr="00E4198F" w:rsidTr="00E4198F">
        <w:trPr>
          <w:trHeight w:val="1000"/>
        </w:trPr>
        <w:tc>
          <w:tcPr>
            <w:tcW w:w="3144" w:type="dxa"/>
            <w:vAlign w:val="center"/>
          </w:tcPr>
          <w:p w:rsidR="00E4198F" w:rsidRDefault="0015579A" w:rsidP="00E4198F">
            <w:pPr>
              <w:pStyle w:val="NormalWeb"/>
              <w:spacing w:before="0" w:beforeAutospacing="0" w:after="360" w:afterAutospacing="0"/>
              <w:jc w:val="center"/>
              <w:rPr>
                <w:rFonts w:ascii="Arial" w:eastAsiaTheme="minorHAnsi" w:hAnsi="Arial" w:cs="Arial"/>
                <w:b/>
                <w:noProof/>
                <w:color w:val="92D050"/>
                <w:sz w:val="22"/>
                <w:szCs w:val="22"/>
                <w:lang w:eastAsia="en-US"/>
              </w:rPr>
            </w:pPr>
            <w:r>
              <w:rPr>
                <w:rFonts w:ascii="Arial" w:eastAsiaTheme="minorHAnsi" w:hAnsi="Arial" w:cs="Arial"/>
                <w:b/>
                <w:noProof/>
                <w:color w:val="92D050"/>
                <w:sz w:val="22"/>
                <w:szCs w:val="22"/>
                <w:lang w:eastAsia="en-US"/>
              </w:rPr>
              <w:t xml:space="preserve">Le poste : </w:t>
            </w:r>
          </w:p>
        </w:tc>
        <w:tc>
          <w:tcPr>
            <w:tcW w:w="12392" w:type="dxa"/>
            <w:vAlign w:val="center"/>
          </w:tcPr>
          <w:p w:rsidR="00E4198F" w:rsidRDefault="00527A5C" w:rsidP="00527A5C">
            <w:pPr>
              <w:shd w:val="clear" w:color="auto" w:fill="FFFFFF"/>
              <w:spacing w:before="100" w:beforeAutospacing="1" w:after="100" w:afterAutospacing="1"/>
              <w:jc w:val="left"/>
              <w:rPr>
                <w:rFonts w:eastAsia="Times New Roman" w:cs="Arial"/>
                <w:noProof w:val="0"/>
                <w:szCs w:val="22"/>
                <w:lang w:eastAsia="fr-FR"/>
              </w:rPr>
            </w:pPr>
            <w:r>
              <w:rPr>
                <w:rFonts w:eastAsia="Times New Roman" w:cs="Arial"/>
                <w:noProof w:val="0"/>
                <w:szCs w:val="22"/>
                <w:lang w:eastAsia="fr-FR"/>
              </w:rPr>
              <w:t>L</w:t>
            </w:r>
            <w:r w:rsidRPr="00527A5C">
              <w:rPr>
                <w:rFonts w:eastAsia="Times New Roman" w:cs="Arial"/>
                <w:noProof w:val="0"/>
                <w:szCs w:val="22"/>
                <w:lang w:eastAsia="fr-FR"/>
              </w:rPr>
              <w:t>e titulaire du poste est placé(e) sous l’autorité de la Directrice adjointe chargée de la Recherche, de l'Innovation, de la Coopération et des Fonds Européens du CHU</w:t>
            </w:r>
          </w:p>
        </w:tc>
      </w:tr>
      <w:tr w:rsidR="0015579A" w:rsidRPr="00E4198F" w:rsidTr="00E4198F">
        <w:trPr>
          <w:trHeight w:val="1000"/>
        </w:trPr>
        <w:tc>
          <w:tcPr>
            <w:tcW w:w="3144" w:type="dxa"/>
            <w:vAlign w:val="center"/>
          </w:tcPr>
          <w:p w:rsidR="0015579A" w:rsidRDefault="0015579A" w:rsidP="00E4198F">
            <w:pPr>
              <w:pStyle w:val="NormalWeb"/>
              <w:spacing w:before="0" w:beforeAutospacing="0" w:after="360" w:afterAutospacing="0"/>
              <w:jc w:val="center"/>
              <w:rPr>
                <w:rFonts w:ascii="Arial" w:eastAsiaTheme="minorHAnsi" w:hAnsi="Arial" w:cs="Arial"/>
                <w:b/>
                <w:noProof/>
                <w:color w:val="92D050"/>
                <w:sz w:val="22"/>
                <w:szCs w:val="22"/>
                <w:lang w:eastAsia="en-US"/>
              </w:rPr>
            </w:pPr>
            <w:r>
              <w:rPr>
                <w:rFonts w:ascii="Arial" w:eastAsiaTheme="minorHAnsi" w:hAnsi="Arial" w:cs="Arial"/>
                <w:b/>
                <w:noProof/>
                <w:color w:val="92D050"/>
                <w:sz w:val="22"/>
                <w:szCs w:val="22"/>
                <w:lang w:eastAsia="en-US"/>
              </w:rPr>
              <w:t xml:space="preserve">Le service : </w:t>
            </w:r>
          </w:p>
        </w:tc>
        <w:tc>
          <w:tcPr>
            <w:tcW w:w="12392" w:type="dxa"/>
            <w:vAlign w:val="center"/>
          </w:tcPr>
          <w:p w:rsidR="0015579A"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Le poste est physiquement affecté au CHU SUD. Des déplacements ponctuels possibles sur les différents sites du GHT ou à l’extérieur</w:t>
            </w:r>
          </w:p>
        </w:tc>
      </w:tr>
      <w:tr w:rsidR="0015579A" w:rsidRPr="00E4198F" w:rsidTr="00E4198F">
        <w:trPr>
          <w:trHeight w:val="1000"/>
        </w:trPr>
        <w:tc>
          <w:tcPr>
            <w:tcW w:w="3144" w:type="dxa"/>
            <w:vAlign w:val="center"/>
          </w:tcPr>
          <w:p w:rsidR="0015579A" w:rsidRDefault="0015579A" w:rsidP="00E4198F">
            <w:pPr>
              <w:pStyle w:val="NormalWeb"/>
              <w:spacing w:before="0" w:beforeAutospacing="0" w:after="360" w:afterAutospacing="0"/>
              <w:jc w:val="center"/>
              <w:rPr>
                <w:rFonts w:ascii="Arial" w:eastAsiaTheme="minorHAnsi" w:hAnsi="Arial" w:cs="Arial"/>
                <w:b/>
                <w:noProof/>
                <w:color w:val="92D050"/>
                <w:sz w:val="22"/>
                <w:szCs w:val="22"/>
                <w:lang w:eastAsia="en-US"/>
              </w:rPr>
            </w:pPr>
            <w:r>
              <w:rPr>
                <w:rFonts w:ascii="Arial" w:eastAsiaTheme="minorHAnsi" w:hAnsi="Arial" w:cs="Arial"/>
                <w:b/>
                <w:noProof/>
                <w:color w:val="92D050"/>
                <w:sz w:val="22"/>
                <w:szCs w:val="22"/>
                <w:lang w:eastAsia="en-US"/>
              </w:rPr>
              <w:t>Missions :</w:t>
            </w:r>
          </w:p>
        </w:tc>
        <w:tc>
          <w:tcPr>
            <w:tcW w:w="12392" w:type="dxa"/>
            <w:vAlign w:val="center"/>
          </w:tcPr>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Les missions du Responsable de la gestion administrative et financière d</w:t>
            </w:r>
            <w:r>
              <w:rPr>
                <w:rFonts w:eastAsia="Times New Roman" w:cs="Arial"/>
                <w:noProof w:val="0"/>
                <w:szCs w:val="22"/>
                <w:lang w:eastAsia="fr-FR"/>
              </w:rPr>
              <w:t>es Fonds Européens - GHT sont :</w:t>
            </w:r>
          </w:p>
          <w:p w:rsidR="0015579A" w:rsidRPr="0015579A" w:rsidRDefault="00527A5C" w:rsidP="00527A5C">
            <w:pPr>
              <w:shd w:val="clear" w:color="auto" w:fill="FFFFFF"/>
              <w:spacing w:before="100" w:beforeAutospacing="1" w:after="100" w:afterAutospacing="1"/>
              <w:ind w:left="375"/>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Organiser, piloter, gérer et superviser les activités et le fonctionnement régulier et continu des services administratifs et techniques de la Direction des Fonds Européens.</w:t>
            </w:r>
          </w:p>
        </w:tc>
      </w:tr>
      <w:tr w:rsidR="00606F40" w:rsidRPr="00E4198F" w:rsidTr="000437C1">
        <w:trPr>
          <w:trHeight w:val="675"/>
        </w:trPr>
        <w:tc>
          <w:tcPr>
            <w:tcW w:w="3144" w:type="dxa"/>
            <w:vAlign w:val="center"/>
          </w:tcPr>
          <w:p w:rsidR="00606F40" w:rsidRPr="00E4198F" w:rsidRDefault="001A6F00" w:rsidP="00E4198F">
            <w:pPr>
              <w:pStyle w:val="NormalWeb"/>
              <w:spacing w:before="0" w:beforeAutospacing="0" w:after="360" w:afterAutospacing="0"/>
              <w:jc w:val="center"/>
              <w:rPr>
                <w:rFonts w:ascii="Arial" w:hAnsi="Arial" w:cs="Arial"/>
                <w:b/>
                <w:color w:val="92D050"/>
                <w:sz w:val="22"/>
                <w:szCs w:val="22"/>
              </w:rPr>
            </w:pPr>
            <w:r>
              <w:rPr>
                <w:rFonts w:ascii="Arial" w:eastAsiaTheme="minorHAnsi" w:hAnsi="Arial" w:cs="Arial"/>
                <w:b/>
                <w:noProof/>
                <w:color w:val="92D050"/>
                <w:sz w:val="22"/>
                <w:szCs w:val="22"/>
                <w:lang w:eastAsia="en-US"/>
              </w:rPr>
              <w:t xml:space="preserve">Activités : </w:t>
            </w:r>
          </w:p>
        </w:tc>
        <w:tc>
          <w:tcPr>
            <w:tcW w:w="12392" w:type="dxa"/>
            <w:vAlign w:val="center"/>
          </w:tcPr>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Pilotage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 xml:space="preserve">Piloter l’instruction des demandes de subventions européennes (FEDER/ INTERREG…) pour les projets des établissements du GHT, notamment au regard de l'éligibilité au Programme Opérationnel (PO)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Maitriser la qualité administrative et financière des dossiers de son portefeuille projets</w:t>
            </w:r>
          </w:p>
          <w:p w:rsidR="008B6E13"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Conseiller et accompagner les bénéficiaires de subventions européennes tout au long de la mise en œuvre de leur projet, les informer des évolutions des politiques et de la règlementation, anticiper et proposer les évolutions conventionnelles nécessaires (avenants)</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 xml:space="preserve">Contribuer à la production et à la mise à jour des outils de </w:t>
            </w:r>
            <w:proofErr w:type="spellStart"/>
            <w:r w:rsidRPr="00527A5C">
              <w:rPr>
                <w:rFonts w:eastAsia="Times New Roman" w:cs="Arial"/>
                <w:noProof w:val="0"/>
                <w:szCs w:val="22"/>
                <w:lang w:eastAsia="fr-FR"/>
              </w:rPr>
              <w:t>reporting</w:t>
            </w:r>
            <w:proofErr w:type="spellEnd"/>
            <w:r w:rsidRPr="00527A5C">
              <w:rPr>
                <w:rFonts w:eastAsia="Times New Roman" w:cs="Arial"/>
                <w:noProof w:val="0"/>
                <w:szCs w:val="22"/>
                <w:lang w:eastAsia="fr-FR"/>
              </w:rPr>
              <w:t xml:space="preserve"> permettant de suivre au fil de l’eau l’avancement des demandes/dossiers et projets éligibles et/ou subventionnés des établissements membres du GHT.</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 xml:space="preserve">Management opérationnel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 xml:space="preserve">Superviser et coordonner le travail réalisé par le(s) Gestionnaire(s) administratif(s) et financier(s) en charge des Fonds </w:t>
            </w:r>
            <w:r>
              <w:rPr>
                <w:rFonts w:eastAsia="Times New Roman" w:cs="Arial"/>
                <w:noProof w:val="0"/>
                <w:szCs w:val="22"/>
                <w:lang w:eastAsia="fr-FR"/>
              </w:rPr>
              <w:t>Européens</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lastRenderedPageBreak/>
              <w:t>Gestion administrative et financière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Assurer un suivi individualisé des projets dès leur genèse et jusqu'au solde de la subvention et archivage</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 xml:space="preserve">Analyser les pièces du dossier (conformité au programme, éligibilité des dépenses...)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Assurer le suivi de la liquidation des subventions des subventions en veillant au respect des échéances</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Participer avec le(s) gestionnaire(s) à la réalisation des contrôles de service fait des demandes de paiement du FEDER</w:t>
            </w:r>
          </w:p>
          <w:p w:rsid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Participer à la mise en place des tableaux de bord de suivi d’activité et d’avancement destinés aux établissements membres du GHT.</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Vie institutionnelle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 xml:space="preserve">Organiser les réunions en lien avec les Fonds Européens et en réaliser le secrétariat (Compte-rendu et PV)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Participation aux instances institutionnelles : Réunion de coordination de sites,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Communiquer en interne, partager et échanger sur les bonnes pratiques et les difficultés</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Rédaction d’actes, de courriers of</w:t>
            </w:r>
            <w:r>
              <w:rPr>
                <w:rFonts w:eastAsia="Times New Roman" w:cs="Arial"/>
                <w:noProof w:val="0"/>
                <w:szCs w:val="22"/>
                <w:lang w:eastAsia="fr-FR"/>
              </w:rPr>
              <w:t xml:space="preserve">ficiels, de documents ou notes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Activités ponctuelles et /ou transversales :</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Préparation et animation de réunions/groupes de travail pour les établissements du GHT en fonction des projets nécessitant une demande de fonds européens</w:t>
            </w:r>
          </w:p>
          <w:p w:rsidR="00527A5C" w:rsidRPr="00527A5C" w:rsidRDefault="00527A5C" w:rsidP="00527A5C">
            <w:p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w:t>
            </w:r>
            <w:r w:rsidRPr="00527A5C">
              <w:rPr>
                <w:rFonts w:eastAsia="Times New Roman" w:cs="Arial"/>
                <w:noProof w:val="0"/>
                <w:szCs w:val="22"/>
                <w:lang w:eastAsia="fr-FR"/>
              </w:rPr>
              <w:tab/>
              <w:t>Relations avec les services et correspondants externes</w:t>
            </w:r>
          </w:p>
          <w:p w:rsidR="008B6E13" w:rsidRPr="000437C1" w:rsidRDefault="008B6E13" w:rsidP="000437C1">
            <w:pPr>
              <w:shd w:val="clear" w:color="auto" w:fill="FFFFFF"/>
              <w:spacing w:before="100" w:beforeAutospacing="1" w:after="100" w:afterAutospacing="1"/>
              <w:ind w:left="375"/>
              <w:jc w:val="left"/>
              <w:rPr>
                <w:rFonts w:eastAsia="Times New Roman" w:cs="Arial"/>
                <w:noProof w:val="0"/>
                <w:szCs w:val="22"/>
                <w:lang w:eastAsia="fr-FR"/>
              </w:rPr>
            </w:pPr>
          </w:p>
        </w:tc>
      </w:tr>
      <w:tr w:rsidR="00606F40" w:rsidRPr="00E4198F" w:rsidTr="000437C1">
        <w:trPr>
          <w:trHeight w:val="636"/>
        </w:trPr>
        <w:tc>
          <w:tcPr>
            <w:tcW w:w="3144" w:type="dxa"/>
            <w:vAlign w:val="center"/>
          </w:tcPr>
          <w:p w:rsidR="00606F40" w:rsidRPr="00E4198F" w:rsidRDefault="00606F40" w:rsidP="00E4198F">
            <w:pPr>
              <w:jc w:val="center"/>
              <w:rPr>
                <w:rFonts w:cs="Arial"/>
                <w:b/>
                <w:color w:val="92D050"/>
                <w:szCs w:val="22"/>
              </w:rPr>
            </w:pPr>
            <w:r w:rsidRPr="00E4198F">
              <w:rPr>
                <w:rFonts w:cs="Arial"/>
                <w:b/>
                <w:color w:val="92D050"/>
                <w:szCs w:val="22"/>
              </w:rPr>
              <w:lastRenderedPageBreak/>
              <w:t>Savoir-faire :</w:t>
            </w:r>
          </w:p>
        </w:tc>
        <w:tc>
          <w:tcPr>
            <w:tcW w:w="12392" w:type="dxa"/>
            <w:vAlign w:val="center"/>
          </w:tcPr>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Capacité d’organisation et savoir prioriser les actions</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Concevoir, piloter et évaluer un projet</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Capacité à gérer les dossiers/situations urgentes de manière appropriée et réactive</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Capacité à transmettre les informations</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Capacités rédactionnelles</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 xml:space="preserve">Maîtrise des logiciels de bureautique </w:t>
            </w:r>
          </w:p>
          <w:p w:rsidR="008B6E13" w:rsidRPr="00527A5C" w:rsidRDefault="008B6E13" w:rsidP="00527A5C">
            <w:pPr>
              <w:shd w:val="clear" w:color="auto" w:fill="FFFFFF"/>
              <w:spacing w:before="100" w:beforeAutospacing="1" w:after="100" w:afterAutospacing="1"/>
              <w:jc w:val="left"/>
              <w:rPr>
                <w:rFonts w:eastAsia="Times New Roman" w:cs="Arial"/>
                <w:noProof w:val="0"/>
                <w:szCs w:val="22"/>
                <w:lang w:eastAsia="fr-FR"/>
              </w:rPr>
            </w:pPr>
          </w:p>
          <w:p w:rsidR="00606F40" w:rsidRPr="00E4198F" w:rsidRDefault="00606F40" w:rsidP="0019275D">
            <w:pPr>
              <w:shd w:val="clear" w:color="auto" w:fill="FFFFFF"/>
              <w:spacing w:before="100" w:beforeAutospacing="1" w:after="100" w:afterAutospacing="1"/>
              <w:jc w:val="left"/>
              <w:rPr>
                <w:rFonts w:eastAsia="Times New Roman" w:cs="Arial"/>
                <w:noProof w:val="0"/>
                <w:szCs w:val="22"/>
                <w:lang w:eastAsia="fr-FR"/>
              </w:rPr>
            </w:pPr>
          </w:p>
        </w:tc>
      </w:tr>
      <w:tr w:rsidR="00E4198F" w:rsidRPr="00E4198F" w:rsidTr="0019275D">
        <w:trPr>
          <w:trHeight w:val="558"/>
        </w:trPr>
        <w:tc>
          <w:tcPr>
            <w:tcW w:w="3144" w:type="dxa"/>
            <w:vAlign w:val="center"/>
          </w:tcPr>
          <w:p w:rsidR="00E4198F" w:rsidRPr="00E4198F" w:rsidRDefault="00E4198F" w:rsidP="00E4198F">
            <w:pPr>
              <w:jc w:val="center"/>
              <w:rPr>
                <w:rFonts w:cs="Arial"/>
                <w:b/>
                <w:color w:val="92D050"/>
                <w:szCs w:val="22"/>
              </w:rPr>
            </w:pPr>
            <w:r>
              <w:rPr>
                <w:rFonts w:cs="Arial"/>
                <w:b/>
                <w:color w:val="92D050"/>
                <w:szCs w:val="22"/>
              </w:rPr>
              <w:lastRenderedPageBreak/>
              <w:t>Savoir-être</w:t>
            </w:r>
            <w:r w:rsidR="001A6F00">
              <w:rPr>
                <w:rFonts w:cs="Arial"/>
                <w:b/>
                <w:color w:val="92D050"/>
                <w:szCs w:val="22"/>
              </w:rPr>
              <w:t> :</w:t>
            </w:r>
          </w:p>
        </w:tc>
        <w:tc>
          <w:tcPr>
            <w:tcW w:w="12392" w:type="dxa"/>
            <w:vAlign w:val="center"/>
          </w:tcPr>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Sens des responsabilités</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Autonomie et disponibilité</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Rigueur et anticipation</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Sens de l’analyse et esprit de synthèse</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Qualités relationnelles</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Discrétion et intégrité</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Sens de l’écoute</w:t>
            </w:r>
          </w:p>
          <w:p w:rsidR="008B6E13"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Etre force de proposition</w:t>
            </w:r>
          </w:p>
          <w:p w:rsidR="00E4198F" w:rsidRPr="00E4198F" w:rsidRDefault="00E4198F" w:rsidP="0019275D">
            <w:pPr>
              <w:shd w:val="clear" w:color="auto" w:fill="FFFFFF"/>
              <w:spacing w:before="100" w:beforeAutospacing="1" w:after="100" w:afterAutospacing="1"/>
              <w:jc w:val="left"/>
              <w:rPr>
                <w:rFonts w:eastAsia="Times New Roman" w:cs="Arial"/>
                <w:noProof w:val="0"/>
                <w:szCs w:val="22"/>
                <w:lang w:eastAsia="fr-FR"/>
              </w:rPr>
            </w:pPr>
          </w:p>
        </w:tc>
      </w:tr>
      <w:tr w:rsidR="00552C66" w:rsidRPr="00E4198F" w:rsidTr="000437C1">
        <w:trPr>
          <w:trHeight w:val="845"/>
        </w:trPr>
        <w:tc>
          <w:tcPr>
            <w:tcW w:w="3144" w:type="dxa"/>
            <w:vAlign w:val="center"/>
          </w:tcPr>
          <w:p w:rsidR="00552C66" w:rsidRDefault="00552C66" w:rsidP="00E4198F">
            <w:pPr>
              <w:jc w:val="center"/>
              <w:rPr>
                <w:rFonts w:cs="Arial"/>
                <w:b/>
                <w:color w:val="92D050"/>
                <w:szCs w:val="22"/>
              </w:rPr>
            </w:pPr>
            <w:r>
              <w:rPr>
                <w:rFonts w:cs="Arial"/>
                <w:b/>
                <w:color w:val="92D050"/>
                <w:szCs w:val="22"/>
              </w:rPr>
              <w:t>Expériences attendues</w:t>
            </w:r>
          </w:p>
        </w:tc>
        <w:tc>
          <w:tcPr>
            <w:tcW w:w="12392" w:type="dxa"/>
            <w:vAlign w:val="center"/>
          </w:tcPr>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Maitrise de la réglementation applicable au FEDER /INTERREG</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Connaissance de la gestion des fonds européens - Expérience de l'instruction FEDER indispensable</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Connaissance de la gestion financière et budgétaire</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Connaissance de la politique des achats-logistique</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Maitrise des marchés publics</w:t>
            </w:r>
          </w:p>
          <w:p w:rsidR="00527A5C"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Maîtrise du fonctionnement d’un hôpital public, connaissance juridique de base</w:t>
            </w:r>
          </w:p>
          <w:p w:rsidR="00552C66" w:rsidRPr="00527A5C" w:rsidRDefault="00527A5C" w:rsidP="00527A5C">
            <w:pPr>
              <w:pStyle w:val="Paragraphedeliste"/>
              <w:numPr>
                <w:ilvl w:val="0"/>
                <w:numId w:val="8"/>
              </w:numPr>
              <w:shd w:val="clear" w:color="auto" w:fill="FFFFFF"/>
              <w:spacing w:before="100" w:beforeAutospacing="1" w:after="100" w:afterAutospacing="1"/>
              <w:jc w:val="left"/>
              <w:rPr>
                <w:rFonts w:eastAsia="Times New Roman" w:cs="Arial"/>
                <w:noProof w:val="0"/>
                <w:szCs w:val="22"/>
                <w:lang w:eastAsia="fr-FR"/>
              </w:rPr>
            </w:pPr>
            <w:r w:rsidRPr="00527A5C">
              <w:rPr>
                <w:rFonts w:eastAsia="Times New Roman" w:cs="Arial"/>
                <w:noProof w:val="0"/>
                <w:szCs w:val="22"/>
                <w:lang w:eastAsia="fr-FR"/>
              </w:rPr>
              <w:t>Expérience hospitalière souhaitée</w:t>
            </w:r>
          </w:p>
          <w:p w:rsidR="00552C66" w:rsidRPr="00552C66" w:rsidRDefault="00552C66" w:rsidP="000437C1">
            <w:pPr>
              <w:shd w:val="clear" w:color="auto" w:fill="FFFFFF"/>
              <w:spacing w:before="100" w:beforeAutospacing="1" w:after="100" w:afterAutospacing="1"/>
              <w:ind w:left="375"/>
              <w:jc w:val="left"/>
              <w:rPr>
                <w:rFonts w:eastAsia="Times New Roman" w:cs="Arial"/>
                <w:noProof w:val="0"/>
                <w:szCs w:val="22"/>
                <w:lang w:eastAsia="fr-FR"/>
              </w:rPr>
            </w:pPr>
          </w:p>
        </w:tc>
      </w:tr>
      <w:tr w:rsidR="00606F40" w:rsidRPr="00E4198F" w:rsidTr="0019275D">
        <w:trPr>
          <w:trHeight w:val="651"/>
        </w:trPr>
        <w:tc>
          <w:tcPr>
            <w:tcW w:w="3144" w:type="dxa"/>
            <w:vAlign w:val="center"/>
          </w:tcPr>
          <w:p w:rsidR="00606F40" w:rsidRPr="00E4198F" w:rsidRDefault="000001C7" w:rsidP="00E4198F">
            <w:pPr>
              <w:jc w:val="center"/>
              <w:rPr>
                <w:rFonts w:cs="Arial"/>
                <w:b/>
                <w:color w:val="92D050"/>
                <w:szCs w:val="22"/>
              </w:rPr>
            </w:pPr>
            <w:r w:rsidRPr="00E4198F">
              <w:rPr>
                <w:rFonts w:cs="Arial"/>
                <w:b/>
                <w:color w:val="92D050"/>
                <w:szCs w:val="22"/>
              </w:rPr>
              <w:t>Formation/qualification requises</w:t>
            </w:r>
            <w:r w:rsidR="001A6F00">
              <w:rPr>
                <w:rFonts w:cs="Arial"/>
                <w:b/>
                <w:color w:val="92D050"/>
                <w:szCs w:val="22"/>
              </w:rPr>
              <w:t xml:space="preserve"> : </w:t>
            </w:r>
          </w:p>
        </w:tc>
        <w:tc>
          <w:tcPr>
            <w:tcW w:w="12392" w:type="dxa"/>
            <w:vAlign w:val="center"/>
          </w:tcPr>
          <w:p w:rsidR="00606F40" w:rsidRPr="00E4198F" w:rsidRDefault="00527A5C" w:rsidP="0019275D">
            <w:pPr>
              <w:shd w:val="clear" w:color="auto" w:fill="FFFFFF"/>
              <w:spacing w:after="360"/>
              <w:ind w:right="-60"/>
              <w:jc w:val="left"/>
              <w:rPr>
                <w:rFonts w:eastAsia="Times New Roman" w:cs="Arial"/>
                <w:noProof w:val="0"/>
                <w:color w:val="7E8186"/>
                <w:szCs w:val="22"/>
                <w:lang w:eastAsia="fr-FR"/>
              </w:rPr>
            </w:pPr>
            <w:r w:rsidRPr="00527A5C">
              <w:rPr>
                <w:rFonts w:eastAsia="Times New Roman" w:cs="Arial"/>
                <w:noProof w:val="0"/>
                <w:color w:val="7E8186"/>
                <w:szCs w:val="22"/>
                <w:lang w:eastAsia="fr-FR"/>
              </w:rPr>
              <w:t>-</w:t>
            </w:r>
            <w:r w:rsidRPr="00527A5C">
              <w:rPr>
                <w:rFonts w:eastAsia="Times New Roman" w:cs="Arial"/>
                <w:noProof w:val="0"/>
                <w:color w:val="7E8186"/>
                <w:szCs w:val="22"/>
                <w:lang w:eastAsia="fr-FR"/>
              </w:rPr>
              <w:tab/>
              <w:t>Niveau Master II en gestion / management / affaires européennes et/ou Diplômes correspondants au grade d’attaché d’administration hospitalière</w:t>
            </w:r>
          </w:p>
        </w:tc>
      </w:tr>
      <w:tr w:rsidR="000001C7" w:rsidRPr="00E4198F" w:rsidTr="0019275D">
        <w:trPr>
          <w:trHeight w:val="616"/>
        </w:trPr>
        <w:tc>
          <w:tcPr>
            <w:tcW w:w="3144" w:type="dxa"/>
            <w:vAlign w:val="center"/>
          </w:tcPr>
          <w:p w:rsidR="000001C7" w:rsidRPr="00E4198F" w:rsidRDefault="000001C7" w:rsidP="00E4198F">
            <w:pPr>
              <w:jc w:val="center"/>
              <w:rPr>
                <w:rFonts w:cs="Arial"/>
                <w:b/>
                <w:color w:val="92D050"/>
                <w:szCs w:val="22"/>
              </w:rPr>
            </w:pPr>
            <w:r w:rsidRPr="00E4198F">
              <w:rPr>
                <w:rFonts w:cs="Arial"/>
                <w:b/>
                <w:color w:val="92D050"/>
                <w:szCs w:val="22"/>
              </w:rPr>
              <w:t>Horaires de travail :</w:t>
            </w:r>
          </w:p>
        </w:tc>
        <w:tc>
          <w:tcPr>
            <w:tcW w:w="12392" w:type="dxa"/>
            <w:vAlign w:val="center"/>
          </w:tcPr>
          <w:p w:rsidR="00527A5C" w:rsidRPr="00527A5C" w:rsidRDefault="00527A5C" w:rsidP="00527A5C">
            <w:pPr>
              <w:shd w:val="clear" w:color="auto" w:fill="FFFFFF"/>
              <w:spacing w:after="360"/>
              <w:ind w:right="-60"/>
              <w:jc w:val="left"/>
              <w:rPr>
                <w:rFonts w:eastAsia="Times New Roman" w:cs="Arial"/>
                <w:noProof w:val="0"/>
                <w:color w:val="7E8186"/>
                <w:szCs w:val="22"/>
                <w:lang w:eastAsia="fr-FR"/>
              </w:rPr>
            </w:pPr>
            <w:r w:rsidRPr="00527A5C">
              <w:rPr>
                <w:rFonts w:eastAsia="Times New Roman" w:cs="Arial"/>
                <w:noProof w:val="0"/>
                <w:color w:val="7E8186"/>
                <w:szCs w:val="22"/>
                <w:lang w:eastAsia="fr-FR"/>
              </w:rPr>
              <w:t xml:space="preserve">Poste à temps plein – Forfait jours </w:t>
            </w:r>
          </w:p>
          <w:p w:rsidR="000001C7" w:rsidRPr="00E4198F" w:rsidRDefault="00527A5C" w:rsidP="00527A5C">
            <w:pPr>
              <w:shd w:val="clear" w:color="auto" w:fill="FFFFFF"/>
              <w:spacing w:after="360"/>
              <w:ind w:right="-60"/>
              <w:jc w:val="left"/>
              <w:rPr>
                <w:rFonts w:eastAsia="Times New Roman" w:cs="Arial"/>
                <w:noProof w:val="0"/>
                <w:color w:val="7E8186"/>
                <w:szCs w:val="22"/>
                <w:lang w:eastAsia="fr-FR"/>
              </w:rPr>
            </w:pPr>
            <w:r w:rsidRPr="00527A5C">
              <w:rPr>
                <w:rFonts w:eastAsia="Times New Roman" w:cs="Arial"/>
                <w:noProof w:val="0"/>
                <w:color w:val="7E8186"/>
                <w:szCs w:val="22"/>
                <w:lang w:eastAsia="fr-FR"/>
              </w:rPr>
              <w:t>Possibilité d’horaires décalés adaptés aux nécessités du service.</w:t>
            </w:r>
          </w:p>
        </w:tc>
      </w:tr>
      <w:tr w:rsidR="000001C7" w:rsidRPr="00E4198F" w:rsidTr="0019275D">
        <w:trPr>
          <w:trHeight w:val="634"/>
        </w:trPr>
        <w:tc>
          <w:tcPr>
            <w:tcW w:w="3144" w:type="dxa"/>
            <w:vAlign w:val="center"/>
          </w:tcPr>
          <w:p w:rsidR="000001C7" w:rsidRPr="00E4198F" w:rsidRDefault="000001C7" w:rsidP="00E4198F">
            <w:pPr>
              <w:jc w:val="center"/>
              <w:rPr>
                <w:rFonts w:cs="Arial"/>
                <w:b/>
                <w:color w:val="92D050"/>
                <w:szCs w:val="22"/>
              </w:rPr>
            </w:pPr>
            <w:r w:rsidRPr="00E4198F">
              <w:rPr>
                <w:rFonts w:cs="Arial"/>
                <w:b/>
                <w:color w:val="92D050"/>
                <w:szCs w:val="22"/>
              </w:rPr>
              <w:t>Type de recrutement :</w:t>
            </w:r>
          </w:p>
        </w:tc>
        <w:tc>
          <w:tcPr>
            <w:tcW w:w="12392" w:type="dxa"/>
            <w:vAlign w:val="center"/>
          </w:tcPr>
          <w:p w:rsidR="00E55EB3" w:rsidRDefault="00527A5C" w:rsidP="0019275D">
            <w:pPr>
              <w:pStyle w:val="NormalWeb"/>
              <w:spacing w:before="0" w:beforeAutospacing="0" w:after="360" w:afterAutospacing="0"/>
              <w:rPr>
                <w:rFonts w:ascii="Arial" w:hAnsi="Arial" w:cs="Arial"/>
                <w:b/>
                <w:sz w:val="22"/>
                <w:szCs w:val="22"/>
                <w:shd w:val="clear" w:color="auto" w:fill="FFFFFF"/>
              </w:rPr>
            </w:pPr>
            <w:sdt>
              <w:sdtPr>
                <w:rPr>
                  <w:rStyle w:val="lev"/>
                  <w:rFonts w:ascii="Arial" w:eastAsiaTheme="majorEastAsia" w:hAnsi="Arial" w:cs="Arial"/>
                  <w:b w:val="0"/>
                  <w:sz w:val="22"/>
                  <w:szCs w:val="22"/>
                  <w:shd w:val="clear" w:color="auto" w:fill="FFFFFF"/>
                </w:rPr>
                <w:id w:val="-1462493232"/>
                <w14:checkbox>
                  <w14:checked w14:val="1"/>
                  <w14:checkedState w14:val="2612" w14:font="MS Gothic"/>
                  <w14:uncheckedState w14:val="2610" w14:font="MS Gothic"/>
                </w14:checkbox>
              </w:sdtPr>
              <w:sdtEndPr>
                <w:rPr>
                  <w:rStyle w:val="lev"/>
                </w:rPr>
              </w:sdtEndPr>
              <w:sdtContent>
                <w:r>
                  <w:rPr>
                    <w:rStyle w:val="lev"/>
                    <w:rFonts w:ascii="MS Gothic" w:eastAsia="MS Gothic" w:hAnsi="MS Gothic" w:cs="Arial" w:hint="eastAsia"/>
                    <w:b w:val="0"/>
                    <w:sz w:val="22"/>
                    <w:szCs w:val="22"/>
                    <w:shd w:val="clear" w:color="auto" w:fill="FFFFFF"/>
                  </w:rPr>
                  <w:t>☒</w:t>
                </w:r>
              </w:sdtContent>
            </w:sdt>
            <w:r w:rsidR="000001C7" w:rsidRPr="00E4198F">
              <w:rPr>
                <w:rStyle w:val="lev"/>
                <w:rFonts w:ascii="Arial" w:eastAsiaTheme="majorEastAsia" w:hAnsi="Arial" w:cs="Arial"/>
                <w:b w:val="0"/>
                <w:sz w:val="22"/>
                <w:szCs w:val="22"/>
                <w:shd w:val="clear" w:color="auto" w:fill="FFFFFF"/>
              </w:rPr>
              <w:t>Mutation</w:t>
            </w:r>
          </w:p>
          <w:p w:rsidR="000001C7" w:rsidRDefault="00527A5C" w:rsidP="0019275D">
            <w:pPr>
              <w:pStyle w:val="NormalWeb"/>
              <w:spacing w:before="0" w:beforeAutospacing="0" w:after="360" w:afterAutospacing="0"/>
              <w:rPr>
                <w:rStyle w:val="lev"/>
                <w:rFonts w:ascii="Arial" w:eastAsiaTheme="majorEastAsia" w:hAnsi="Arial" w:cs="Arial"/>
                <w:b w:val="0"/>
                <w:sz w:val="22"/>
                <w:szCs w:val="22"/>
                <w:shd w:val="clear" w:color="auto" w:fill="FFFFFF"/>
              </w:rPr>
            </w:pPr>
            <w:sdt>
              <w:sdtPr>
                <w:rPr>
                  <w:rStyle w:val="lev"/>
                  <w:rFonts w:ascii="Arial" w:eastAsiaTheme="majorEastAsia" w:hAnsi="Arial" w:cs="Arial"/>
                  <w:b w:val="0"/>
                  <w:sz w:val="22"/>
                  <w:szCs w:val="22"/>
                  <w:shd w:val="clear" w:color="auto" w:fill="FFFFFF"/>
                </w:rPr>
                <w:id w:val="-953863324"/>
                <w14:checkbox>
                  <w14:checked w14:val="1"/>
                  <w14:checkedState w14:val="2612" w14:font="MS Gothic"/>
                  <w14:uncheckedState w14:val="2610" w14:font="MS Gothic"/>
                </w14:checkbox>
              </w:sdtPr>
              <w:sdtEndPr>
                <w:rPr>
                  <w:rStyle w:val="lev"/>
                </w:rPr>
              </w:sdtEndPr>
              <w:sdtContent>
                <w:r>
                  <w:rPr>
                    <w:rStyle w:val="lev"/>
                    <w:rFonts w:ascii="MS Gothic" w:eastAsia="MS Gothic" w:hAnsi="MS Gothic" w:cs="Arial" w:hint="eastAsia"/>
                    <w:b w:val="0"/>
                    <w:sz w:val="22"/>
                    <w:szCs w:val="22"/>
                    <w:shd w:val="clear" w:color="auto" w:fill="FFFFFF"/>
                  </w:rPr>
                  <w:t>☒</w:t>
                </w:r>
              </w:sdtContent>
            </w:sdt>
            <w:r w:rsidR="000001C7" w:rsidRPr="00E4198F">
              <w:rPr>
                <w:rStyle w:val="lev"/>
                <w:rFonts w:ascii="Arial" w:eastAsiaTheme="majorEastAsia" w:hAnsi="Arial" w:cs="Arial"/>
                <w:b w:val="0"/>
                <w:sz w:val="22"/>
                <w:szCs w:val="22"/>
                <w:shd w:val="clear" w:color="auto" w:fill="FFFFFF"/>
              </w:rPr>
              <w:t>CDD</w:t>
            </w:r>
            <w:r>
              <w:rPr>
                <w:rStyle w:val="lev"/>
                <w:rFonts w:ascii="Arial" w:eastAsiaTheme="majorEastAsia" w:hAnsi="Arial" w:cs="Arial"/>
                <w:b w:val="0"/>
                <w:sz w:val="22"/>
                <w:szCs w:val="22"/>
                <w:shd w:val="clear" w:color="auto" w:fill="FFFFFF"/>
              </w:rPr>
              <w:t xml:space="preserve"> évolutif en CDI</w:t>
            </w:r>
          </w:p>
          <w:p w:rsidR="008B6E13" w:rsidRPr="008B6E13" w:rsidRDefault="00527A5C" w:rsidP="0019275D">
            <w:pPr>
              <w:pStyle w:val="NormalWeb"/>
              <w:spacing w:before="0" w:beforeAutospacing="0" w:after="360" w:afterAutospacing="0"/>
              <w:rPr>
                <w:rFonts w:ascii="Arial" w:eastAsiaTheme="majorEastAsia" w:hAnsi="Arial" w:cs="Arial"/>
                <w:bCs/>
                <w:sz w:val="22"/>
                <w:szCs w:val="22"/>
                <w:shd w:val="clear" w:color="auto" w:fill="FFFFFF"/>
              </w:rPr>
            </w:pPr>
            <w:sdt>
              <w:sdtPr>
                <w:rPr>
                  <w:rStyle w:val="lev"/>
                  <w:rFonts w:ascii="Arial" w:eastAsiaTheme="majorEastAsia" w:hAnsi="Arial" w:cs="Arial"/>
                  <w:b w:val="0"/>
                  <w:sz w:val="22"/>
                  <w:szCs w:val="22"/>
                  <w:shd w:val="clear" w:color="auto" w:fill="FFFFFF"/>
                </w:rPr>
                <w:id w:val="-784663231"/>
                <w14:checkbox>
                  <w14:checked w14:val="1"/>
                  <w14:checkedState w14:val="2612" w14:font="MS Gothic"/>
                  <w14:uncheckedState w14:val="2610" w14:font="MS Gothic"/>
                </w14:checkbox>
              </w:sdtPr>
              <w:sdtEndPr>
                <w:rPr>
                  <w:rStyle w:val="lev"/>
                </w:rPr>
              </w:sdtEndPr>
              <w:sdtContent>
                <w:r>
                  <w:rPr>
                    <w:rStyle w:val="lev"/>
                    <w:rFonts w:ascii="MS Gothic" w:eastAsia="MS Gothic" w:hAnsi="MS Gothic" w:cs="Arial" w:hint="eastAsia"/>
                    <w:b w:val="0"/>
                    <w:sz w:val="22"/>
                    <w:szCs w:val="22"/>
                    <w:shd w:val="clear" w:color="auto" w:fill="FFFFFF"/>
                  </w:rPr>
                  <w:t>☒</w:t>
                </w:r>
              </w:sdtContent>
            </w:sdt>
            <w:r w:rsidR="008B6E13" w:rsidRPr="00E4198F">
              <w:rPr>
                <w:rStyle w:val="lev"/>
                <w:rFonts w:ascii="Arial" w:eastAsiaTheme="majorEastAsia" w:hAnsi="Arial" w:cs="Arial"/>
                <w:b w:val="0"/>
                <w:sz w:val="22"/>
                <w:szCs w:val="22"/>
                <w:shd w:val="clear" w:color="auto" w:fill="FFFFFF"/>
              </w:rPr>
              <w:t xml:space="preserve"> </w:t>
            </w:r>
            <w:r w:rsidR="008B6E13">
              <w:rPr>
                <w:rStyle w:val="lev"/>
                <w:rFonts w:ascii="Arial" w:eastAsiaTheme="majorEastAsia" w:hAnsi="Arial" w:cs="Arial"/>
                <w:b w:val="0"/>
                <w:sz w:val="22"/>
                <w:szCs w:val="22"/>
                <w:shd w:val="clear" w:color="auto" w:fill="FFFFFF"/>
              </w:rPr>
              <w:t>Autre :</w:t>
            </w:r>
          </w:p>
        </w:tc>
      </w:tr>
      <w:tr w:rsidR="000001C7" w:rsidRPr="00E4198F" w:rsidTr="0019275D">
        <w:trPr>
          <w:trHeight w:val="651"/>
        </w:trPr>
        <w:tc>
          <w:tcPr>
            <w:tcW w:w="3144" w:type="dxa"/>
            <w:vAlign w:val="center"/>
          </w:tcPr>
          <w:p w:rsidR="000001C7" w:rsidRPr="00E4198F" w:rsidRDefault="000001C7" w:rsidP="00E4198F">
            <w:pPr>
              <w:jc w:val="center"/>
              <w:rPr>
                <w:rFonts w:cs="Arial"/>
                <w:b/>
                <w:color w:val="92D050"/>
                <w:szCs w:val="22"/>
              </w:rPr>
            </w:pPr>
            <w:r w:rsidRPr="00E4198F">
              <w:rPr>
                <w:rFonts w:cs="Arial"/>
                <w:b/>
                <w:color w:val="92D050"/>
                <w:szCs w:val="22"/>
              </w:rPr>
              <w:t>Salaire brut/Net mensuel :</w:t>
            </w:r>
          </w:p>
        </w:tc>
        <w:tc>
          <w:tcPr>
            <w:tcW w:w="12392" w:type="dxa"/>
            <w:vAlign w:val="center"/>
          </w:tcPr>
          <w:p w:rsidR="000001C7" w:rsidRPr="00E4198F" w:rsidRDefault="000001C7" w:rsidP="0019275D">
            <w:pPr>
              <w:pStyle w:val="NormalWeb"/>
              <w:spacing w:before="0" w:beforeAutospacing="0" w:after="360" w:afterAutospacing="0"/>
              <w:rPr>
                <w:rFonts w:ascii="Arial" w:hAnsi="Arial" w:cs="Arial"/>
                <w:sz w:val="22"/>
                <w:szCs w:val="22"/>
              </w:rPr>
            </w:pPr>
          </w:p>
        </w:tc>
      </w:tr>
      <w:tr w:rsidR="00E4198F" w:rsidRPr="00E4198F" w:rsidTr="0019275D">
        <w:trPr>
          <w:trHeight w:val="651"/>
        </w:trPr>
        <w:tc>
          <w:tcPr>
            <w:tcW w:w="3144" w:type="dxa"/>
            <w:vAlign w:val="center"/>
          </w:tcPr>
          <w:p w:rsidR="00E4198F" w:rsidRPr="00E4198F" w:rsidRDefault="00E4198F" w:rsidP="00E4198F">
            <w:pPr>
              <w:jc w:val="center"/>
              <w:rPr>
                <w:rFonts w:cs="Arial"/>
                <w:b/>
                <w:color w:val="92D050"/>
                <w:szCs w:val="22"/>
              </w:rPr>
            </w:pPr>
            <w:r>
              <w:rPr>
                <w:rFonts w:cs="Arial"/>
                <w:b/>
                <w:color w:val="92D050"/>
                <w:szCs w:val="22"/>
              </w:rPr>
              <w:t>Indemnités</w:t>
            </w:r>
            <w:r w:rsidR="001A6F00">
              <w:rPr>
                <w:rFonts w:cs="Arial"/>
                <w:b/>
                <w:color w:val="92D050"/>
                <w:szCs w:val="22"/>
              </w:rPr>
              <w:t xml:space="preserve"> : </w:t>
            </w:r>
          </w:p>
        </w:tc>
        <w:tc>
          <w:tcPr>
            <w:tcW w:w="12392" w:type="dxa"/>
            <w:vAlign w:val="center"/>
          </w:tcPr>
          <w:p w:rsidR="00E4198F" w:rsidRPr="00E4198F" w:rsidRDefault="00E4198F" w:rsidP="0019275D">
            <w:pPr>
              <w:pStyle w:val="NormalWeb"/>
              <w:spacing w:before="0" w:beforeAutospacing="0" w:after="360" w:afterAutospacing="0"/>
              <w:rPr>
                <w:rFonts w:ascii="Arial" w:hAnsi="Arial" w:cs="Arial"/>
                <w:sz w:val="22"/>
                <w:szCs w:val="22"/>
                <w:shd w:val="clear" w:color="auto" w:fill="FFFFFF"/>
              </w:rPr>
            </w:pPr>
          </w:p>
        </w:tc>
      </w:tr>
      <w:tr w:rsidR="000001C7" w:rsidRPr="00E4198F" w:rsidTr="0019275D">
        <w:trPr>
          <w:trHeight w:val="651"/>
        </w:trPr>
        <w:tc>
          <w:tcPr>
            <w:tcW w:w="3144" w:type="dxa"/>
            <w:vAlign w:val="center"/>
          </w:tcPr>
          <w:p w:rsidR="000001C7" w:rsidRPr="00E4198F" w:rsidRDefault="000001C7" w:rsidP="00E4198F">
            <w:pPr>
              <w:jc w:val="center"/>
              <w:rPr>
                <w:rFonts w:cs="Arial"/>
                <w:b/>
                <w:color w:val="92D050"/>
                <w:szCs w:val="22"/>
              </w:rPr>
            </w:pPr>
            <w:r w:rsidRPr="00E4198F">
              <w:rPr>
                <w:rFonts w:cs="Arial"/>
                <w:b/>
                <w:color w:val="92D050"/>
                <w:szCs w:val="22"/>
              </w:rPr>
              <w:t>Date limite de dépôt de candidature :</w:t>
            </w:r>
          </w:p>
        </w:tc>
        <w:tc>
          <w:tcPr>
            <w:tcW w:w="12392" w:type="dxa"/>
            <w:vAlign w:val="center"/>
          </w:tcPr>
          <w:p w:rsidR="000001C7" w:rsidRPr="00E4198F" w:rsidRDefault="00527A5C" w:rsidP="0019275D">
            <w:pPr>
              <w:pStyle w:val="NormalWeb"/>
              <w:spacing w:before="0" w:beforeAutospacing="0" w:after="360" w:afterAutospacing="0"/>
              <w:rPr>
                <w:rFonts w:ascii="Arial" w:hAnsi="Arial" w:cs="Arial"/>
                <w:sz w:val="22"/>
                <w:szCs w:val="22"/>
              </w:rPr>
            </w:pPr>
            <w:r>
              <w:rPr>
                <w:rFonts w:ascii="Arial" w:hAnsi="Arial" w:cs="Arial"/>
                <w:sz w:val="22"/>
                <w:szCs w:val="22"/>
                <w:shd w:val="clear" w:color="auto" w:fill="FFFFFF"/>
              </w:rPr>
              <w:t>31/05/2023</w:t>
            </w:r>
          </w:p>
        </w:tc>
      </w:tr>
      <w:tr w:rsidR="000001C7" w:rsidRPr="00E4198F" w:rsidTr="0019275D">
        <w:trPr>
          <w:cantSplit/>
          <w:trHeight w:val="755"/>
        </w:trPr>
        <w:tc>
          <w:tcPr>
            <w:tcW w:w="3144" w:type="dxa"/>
            <w:vAlign w:val="center"/>
          </w:tcPr>
          <w:p w:rsidR="000001C7" w:rsidRPr="00E4198F" w:rsidRDefault="001A6F00" w:rsidP="00E4198F">
            <w:pPr>
              <w:jc w:val="center"/>
              <w:rPr>
                <w:rFonts w:cs="Arial"/>
                <w:b/>
                <w:color w:val="92D050"/>
                <w:szCs w:val="22"/>
              </w:rPr>
            </w:pPr>
            <w:r>
              <w:rPr>
                <w:rFonts w:cs="Arial"/>
                <w:b/>
                <w:color w:val="92D050"/>
                <w:szCs w:val="22"/>
              </w:rPr>
              <w:lastRenderedPageBreak/>
              <w:t xml:space="preserve">Candidature à envoyer à : </w:t>
            </w:r>
          </w:p>
        </w:tc>
        <w:tc>
          <w:tcPr>
            <w:tcW w:w="12392" w:type="dxa"/>
            <w:vAlign w:val="center"/>
          </w:tcPr>
          <w:p w:rsidR="0019275D" w:rsidRPr="0019275D" w:rsidRDefault="00527A5C" w:rsidP="0019275D">
            <w:pPr>
              <w:pStyle w:val="NormalWeb"/>
              <w:spacing w:before="0" w:beforeAutospacing="0" w:after="360" w:afterAutospacing="0"/>
              <w:rPr>
                <w:rFonts w:ascii="Arial" w:hAnsi="Arial" w:cs="Arial"/>
                <w:sz w:val="22"/>
                <w:szCs w:val="22"/>
                <w:shd w:val="clear" w:color="auto" w:fill="FFFFFF"/>
              </w:rPr>
            </w:pPr>
            <w:r>
              <w:rPr>
                <w:rFonts w:ascii="Arial" w:hAnsi="Arial" w:cs="Arial"/>
                <w:sz w:val="22"/>
                <w:szCs w:val="22"/>
                <w:shd w:val="clear" w:color="auto" w:fill="FFFFFF"/>
              </w:rPr>
              <w:t>recrutementchorepsmr@pso.re</w:t>
            </w:r>
          </w:p>
        </w:tc>
      </w:tr>
      <w:tr w:rsidR="001A6F00" w:rsidRPr="00E4198F" w:rsidTr="0019275D">
        <w:trPr>
          <w:trHeight w:val="651"/>
        </w:trPr>
        <w:tc>
          <w:tcPr>
            <w:tcW w:w="3144" w:type="dxa"/>
            <w:vAlign w:val="center"/>
          </w:tcPr>
          <w:p w:rsidR="001A6F00" w:rsidRDefault="001A6F00" w:rsidP="00E4198F">
            <w:pPr>
              <w:jc w:val="center"/>
              <w:rPr>
                <w:rFonts w:cs="Arial"/>
                <w:b/>
                <w:color w:val="92D050"/>
                <w:szCs w:val="22"/>
              </w:rPr>
            </w:pPr>
            <w:r>
              <w:rPr>
                <w:rFonts w:cs="Arial"/>
                <w:b/>
                <w:color w:val="92D050"/>
                <w:szCs w:val="22"/>
              </w:rPr>
              <w:t xml:space="preserve">Contact pour informations : </w:t>
            </w:r>
          </w:p>
        </w:tc>
        <w:tc>
          <w:tcPr>
            <w:tcW w:w="12392" w:type="dxa"/>
            <w:vAlign w:val="center"/>
          </w:tcPr>
          <w:p w:rsidR="001A6F00" w:rsidRPr="00E4198F" w:rsidRDefault="00527A5C" w:rsidP="0019275D">
            <w:pPr>
              <w:pStyle w:val="NormalWeb"/>
              <w:spacing w:before="0" w:beforeAutospacing="0" w:after="360" w:afterAutospacing="0"/>
              <w:rPr>
                <w:rFonts w:ascii="Arial" w:hAnsi="Arial" w:cs="Arial"/>
                <w:sz w:val="22"/>
                <w:szCs w:val="22"/>
                <w:shd w:val="clear" w:color="auto" w:fill="FFFFFF"/>
              </w:rPr>
            </w:pPr>
            <w:r>
              <w:rPr>
                <w:rFonts w:ascii="Arial" w:hAnsi="Arial" w:cs="Arial"/>
                <w:sz w:val="22"/>
                <w:szCs w:val="22"/>
                <w:shd w:val="clear" w:color="auto" w:fill="FFFFFF"/>
              </w:rPr>
              <w:t>Direction des Ressources Humaines 02 62 74 00 43</w:t>
            </w:r>
            <w:bookmarkStart w:id="0" w:name="_GoBack"/>
            <w:bookmarkEnd w:id="0"/>
          </w:p>
        </w:tc>
      </w:tr>
    </w:tbl>
    <w:p w:rsidR="001446E4" w:rsidRDefault="001446E4" w:rsidP="00606F40">
      <w:pPr>
        <w:pStyle w:val="NormalWeb"/>
        <w:shd w:val="clear" w:color="auto" w:fill="FFFFFF"/>
        <w:spacing w:before="0" w:beforeAutospacing="0" w:after="360" w:afterAutospacing="0"/>
        <w:rPr>
          <w:rFonts w:ascii="Arial" w:hAnsi="Arial" w:cs="Arial"/>
          <w:color w:val="7E8186"/>
          <w:sz w:val="21"/>
          <w:szCs w:val="21"/>
        </w:rPr>
      </w:pPr>
      <w:r>
        <w:rPr>
          <w:rFonts w:ascii="Arial" w:hAnsi="Arial" w:cs="Arial"/>
          <w:color w:val="7E8186"/>
          <w:sz w:val="21"/>
          <w:szCs w:val="21"/>
        </w:rPr>
        <w:t> </w:t>
      </w:r>
    </w:p>
    <w:p w:rsidR="001446E4" w:rsidRPr="005458FE" w:rsidRDefault="001446E4" w:rsidP="00595E48">
      <w:pPr>
        <w:shd w:val="clear" w:color="auto" w:fill="FFFFFF"/>
        <w:ind w:left="-284"/>
        <w:jc w:val="left"/>
        <w:outlineLvl w:val="2"/>
        <w:rPr>
          <w:rFonts w:asciiTheme="minorHAnsi" w:hAnsiTheme="minorHAnsi" w:cstheme="minorHAnsi"/>
          <w:color w:val="000000"/>
          <w:szCs w:val="22"/>
          <w:shd w:val="clear" w:color="auto" w:fill="FFFFFF"/>
        </w:rPr>
      </w:pPr>
    </w:p>
    <w:sectPr w:rsidR="001446E4" w:rsidRPr="005458FE" w:rsidSect="00E4198F">
      <w:pgSz w:w="16838" w:h="11906" w:orient="landscape"/>
      <w:pgMar w:top="709" w:right="141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CA5"/>
    <w:multiLevelType w:val="multilevel"/>
    <w:tmpl w:val="972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175B3"/>
    <w:multiLevelType w:val="hybridMultilevel"/>
    <w:tmpl w:val="6FB03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0C3069"/>
    <w:multiLevelType w:val="multilevel"/>
    <w:tmpl w:val="13A2A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37C61"/>
    <w:multiLevelType w:val="hybridMultilevel"/>
    <w:tmpl w:val="B21EB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CC6462"/>
    <w:multiLevelType w:val="hybridMultilevel"/>
    <w:tmpl w:val="B010C4F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4DD34FC3"/>
    <w:multiLevelType w:val="multilevel"/>
    <w:tmpl w:val="56A4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C5DDA"/>
    <w:multiLevelType w:val="hybridMultilevel"/>
    <w:tmpl w:val="B1769138"/>
    <w:lvl w:ilvl="0" w:tplc="D2489968">
      <w:numFmt w:val="bullet"/>
      <w:lvlText w:val="-"/>
      <w:lvlJc w:val="left"/>
      <w:pPr>
        <w:ind w:left="0" w:firstLine="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35F4E0D"/>
    <w:multiLevelType w:val="hybridMultilevel"/>
    <w:tmpl w:val="95E0292C"/>
    <w:lvl w:ilvl="0" w:tplc="D2489968">
      <w:numFmt w:val="bullet"/>
      <w:lvlText w:val="-"/>
      <w:lvlJc w:val="left"/>
      <w:pPr>
        <w:ind w:left="0" w:firstLine="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08"/>
    <w:rsid w:val="000001C7"/>
    <w:rsid w:val="000037F3"/>
    <w:rsid w:val="000437C1"/>
    <w:rsid w:val="000719D4"/>
    <w:rsid w:val="00075BED"/>
    <w:rsid w:val="001446E4"/>
    <w:rsid w:val="0015579A"/>
    <w:rsid w:val="0019275D"/>
    <w:rsid w:val="001A6F00"/>
    <w:rsid w:val="001B168A"/>
    <w:rsid w:val="001D007B"/>
    <w:rsid w:val="0023233A"/>
    <w:rsid w:val="00472088"/>
    <w:rsid w:val="004E518A"/>
    <w:rsid w:val="00527A5C"/>
    <w:rsid w:val="005458FE"/>
    <w:rsid w:val="00552C66"/>
    <w:rsid w:val="00595E48"/>
    <w:rsid w:val="00606F40"/>
    <w:rsid w:val="008B6E13"/>
    <w:rsid w:val="00971A67"/>
    <w:rsid w:val="00AF3108"/>
    <w:rsid w:val="00C50459"/>
    <w:rsid w:val="00CF7AD6"/>
    <w:rsid w:val="00DF0758"/>
    <w:rsid w:val="00E4198F"/>
    <w:rsid w:val="00E548B3"/>
    <w:rsid w:val="00E5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C47E"/>
  <w15:chartTrackingRefBased/>
  <w15:docId w15:val="{2BE5D3D6-000B-429F-A099-CA4D512D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59"/>
    <w:pPr>
      <w:spacing w:after="0" w:line="240" w:lineRule="auto"/>
      <w:jc w:val="both"/>
    </w:pPr>
    <w:rPr>
      <w:rFonts w:ascii="Arial" w:hAnsi="Arial"/>
      <w:noProof/>
      <w:szCs w:val="24"/>
    </w:rPr>
  </w:style>
  <w:style w:type="paragraph" w:styleId="Titre1">
    <w:name w:val="heading 1"/>
    <w:aliases w:val="Axe"/>
    <w:basedOn w:val="Normal"/>
    <w:next w:val="Normal"/>
    <w:link w:val="Titre1Car"/>
    <w:autoRedefine/>
    <w:uiPriority w:val="9"/>
    <w:qFormat/>
    <w:rsid w:val="000037F3"/>
    <w:pPr>
      <w:keepNext/>
      <w:keepLines/>
      <w:spacing w:before="320"/>
      <w:outlineLvl w:val="0"/>
    </w:pPr>
    <w:rPr>
      <w:rFonts w:asciiTheme="majorHAnsi" w:eastAsiaTheme="majorEastAsia" w:hAnsiTheme="majorHAnsi" w:cstheme="majorBidi"/>
      <w:color w:val="2E74B5" w:themeColor="accent1" w:themeShade="BF"/>
      <w:sz w:val="36"/>
      <w:szCs w:val="32"/>
    </w:rPr>
  </w:style>
  <w:style w:type="paragraph" w:styleId="Titre2">
    <w:name w:val="heading 2"/>
    <w:aliases w:val="objectifs"/>
    <w:basedOn w:val="Normal"/>
    <w:next w:val="Normal"/>
    <w:link w:val="Titre2Car"/>
    <w:autoRedefine/>
    <w:uiPriority w:val="9"/>
    <w:unhideWhenUsed/>
    <w:qFormat/>
    <w:rsid w:val="000037F3"/>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Titre3">
    <w:name w:val="heading 3"/>
    <w:aliases w:val="point important texte"/>
    <w:basedOn w:val="Normal"/>
    <w:next w:val="Normal"/>
    <w:link w:val="Titre3Car"/>
    <w:uiPriority w:val="9"/>
    <w:unhideWhenUsed/>
    <w:qFormat/>
    <w:rsid w:val="004E518A"/>
    <w:pPr>
      <w:keepNext/>
      <w:keepLines/>
      <w:spacing w:before="40"/>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ALISAGE"/>
    <w:autoRedefine/>
    <w:uiPriority w:val="1"/>
    <w:qFormat/>
    <w:rsid w:val="000037F3"/>
    <w:pPr>
      <w:spacing w:after="0" w:line="240" w:lineRule="auto"/>
      <w:jc w:val="both"/>
    </w:pPr>
    <w:rPr>
      <w:rFonts w:ascii="Arial" w:hAnsi="Arial"/>
      <w:sz w:val="24"/>
    </w:rPr>
  </w:style>
  <w:style w:type="character" w:customStyle="1" w:styleId="Titre1Car">
    <w:name w:val="Titre 1 Car"/>
    <w:aliases w:val="Axe Car"/>
    <w:basedOn w:val="Policepardfaut"/>
    <w:link w:val="Titre1"/>
    <w:uiPriority w:val="9"/>
    <w:rsid w:val="000037F3"/>
    <w:rPr>
      <w:rFonts w:asciiTheme="majorHAnsi" w:eastAsiaTheme="majorEastAsia" w:hAnsiTheme="majorHAnsi" w:cstheme="majorBidi"/>
      <w:color w:val="2E74B5" w:themeColor="accent1" w:themeShade="BF"/>
      <w:sz w:val="36"/>
      <w:szCs w:val="32"/>
    </w:rPr>
  </w:style>
  <w:style w:type="character" w:customStyle="1" w:styleId="Titre2Car">
    <w:name w:val="Titre 2 Car"/>
    <w:aliases w:val="objectifs Car"/>
    <w:basedOn w:val="Policepardfaut"/>
    <w:link w:val="Titre2"/>
    <w:uiPriority w:val="9"/>
    <w:rsid w:val="000037F3"/>
    <w:rPr>
      <w:rFonts w:asciiTheme="majorHAnsi" w:eastAsiaTheme="majorEastAsia" w:hAnsiTheme="majorHAnsi" w:cstheme="majorBidi"/>
      <w:color w:val="2E74B5" w:themeColor="accent1" w:themeShade="BF"/>
      <w:sz w:val="28"/>
      <w:szCs w:val="26"/>
    </w:rPr>
  </w:style>
  <w:style w:type="character" w:customStyle="1" w:styleId="Titre3Car">
    <w:name w:val="Titre 3 Car"/>
    <w:aliases w:val="point important texte Car"/>
    <w:basedOn w:val="Policepardfaut"/>
    <w:link w:val="Titre3"/>
    <w:uiPriority w:val="9"/>
    <w:rsid w:val="004E518A"/>
    <w:rPr>
      <w:rFonts w:ascii="Arial" w:eastAsiaTheme="majorEastAsia" w:hAnsi="Arial" w:cstheme="majorBidi"/>
      <w:b/>
      <w:szCs w:val="24"/>
    </w:rPr>
  </w:style>
  <w:style w:type="paragraph" w:styleId="Corpsdetexte">
    <w:name w:val="Body Text"/>
    <w:basedOn w:val="Normal"/>
    <w:link w:val="CorpsdetexteCar"/>
    <w:autoRedefine/>
    <w:uiPriority w:val="1"/>
    <w:qFormat/>
    <w:rsid w:val="00DF0758"/>
    <w:pPr>
      <w:widowControl w:val="0"/>
      <w:autoSpaceDE w:val="0"/>
      <w:autoSpaceDN w:val="0"/>
    </w:pPr>
    <w:rPr>
      <w:rFonts w:eastAsia="Calibri" w:cs="Calibri"/>
      <w:szCs w:val="22"/>
      <w:lang w:val="en-US"/>
    </w:rPr>
  </w:style>
  <w:style w:type="character" w:customStyle="1" w:styleId="CorpsdetexteCar">
    <w:name w:val="Corps de texte Car"/>
    <w:basedOn w:val="Policepardfaut"/>
    <w:link w:val="Corpsdetexte"/>
    <w:uiPriority w:val="1"/>
    <w:rsid w:val="00DF0758"/>
    <w:rPr>
      <w:rFonts w:ascii="Arial" w:eastAsia="Calibri" w:hAnsi="Arial" w:cs="Calibri"/>
      <w:lang w:val="en-US"/>
    </w:rPr>
  </w:style>
  <w:style w:type="character" w:styleId="lev">
    <w:name w:val="Strong"/>
    <w:basedOn w:val="Policepardfaut"/>
    <w:uiPriority w:val="22"/>
    <w:qFormat/>
    <w:rsid w:val="00AF3108"/>
    <w:rPr>
      <w:b/>
      <w:bCs/>
    </w:rPr>
  </w:style>
  <w:style w:type="paragraph" w:styleId="Paragraphedeliste">
    <w:name w:val="List Paragraph"/>
    <w:basedOn w:val="Normal"/>
    <w:uiPriority w:val="34"/>
    <w:qFormat/>
    <w:rsid w:val="005458FE"/>
    <w:pPr>
      <w:ind w:left="720"/>
      <w:contextualSpacing/>
    </w:pPr>
  </w:style>
  <w:style w:type="paragraph" w:styleId="NormalWeb">
    <w:name w:val="Normal (Web)"/>
    <w:basedOn w:val="Normal"/>
    <w:uiPriority w:val="99"/>
    <w:unhideWhenUsed/>
    <w:rsid w:val="005458FE"/>
    <w:pPr>
      <w:spacing w:before="100" w:beforeAutospacing="1" w:after="100" w:afterAutospacing="1"/>
      <w:jc w:val="left"/>
    </w:pPr>
    <w:rPr>
      <w:rFonts w:ascii="Times New Roman" w:eastAsia="Times New Roman" w:hAnsi="Times New Roman" w:cs="Times New Roman"/>
      <w:noProof w:val="0"/>
      <w:sz w:val="24"/>
      <w:lang w:eastAsia="fr-FR"/>
    </w:rPr>
  </w:style>
  <w:style w:type="character" w:styleId="Lienhypertexte">
    <w:name w:val="Hyperlink"/>
    <w:basedOn w:val="Policepardfaut"/>
    <w:uiPriority w:val="99"/>
    <w:unhideWhenUsed/>
    <w:rsid w:val="001446E4"/>
    <w:rPr>
      <w:color w:val="0563C1" w:themeColor="hyperlink"/>
      <w:u w:val="single"/>
    </w:rPr>
  </w:style>
  <w:style w:type="paragraph" w:styleId="Textedebulles">
    <w:name w:val="Balloon Text"/>
    <w:basedOn w:val="Normal"/>
    <w:link w:val="TextedebullesCar"/>
    <w:uiPriority w:val="99"/>
    <w:semiHidden/>
    <w:unhideWhenUsed/>
    <w:rsid w:val="001446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6E4"/>
    <w:rPr>
      <w:rFonts w:ascii="Segoe UI" w:hAnsi="Segoe UI" w:cs="Segoe UI"/>
      <w:noProof/>
      <w:sz w:val="18"/>
      <w:szCs w:val="18"/>
    </w:rPr>
  </w:style>
  <w:style w:type="table" w:styleId="Grilledutableau">
    <w:name w:val="Table Grid"/>
    <w:basedOn w:val="TableauNormal"/>
    <w:uiPriority w:val="39"/>
    <w:rsid w:val="0060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40395">
      <w:bodyDiv w:val="1"/>
      <w:marLeft w:val="0"/>
      <w:marRight w:val="0"/>
      <w:marTop w:val="0"/>
      <w:marBottom w:val="0"/>
      <w:divBdr>
        <w:top w:val="none" w:sz="0" w:space="0" w:color="auto"/>
        <w:left w:val="none" w:sz="0" w:space="0" w:color="auto"/>
        <w:bottom w:val="none" w:sz="0" w:space="0" w:color="auto"/>
        <w:right w:val="none" w:sz="0" w:space="0" w:color="auto"/>
      </w:divBdr>
    </w:div>
    <w:div w:id="252402275">
      <w:bodyDiv w:val="1"/>
      <w:marLeft w:val="0"/>
      <w:marRight w:val="0"/>
      <w:marTop w:val="0"/>
      <w:marBottom w:val="0"/>
      <w:divBdr>
        <w:top w:val="none" w:sz="0" w:space="0" w:color="auto"/>
        <w:left w:val="none" w:sz="0" w:space="0" w:color="auto"/>
        <w:bottom w:val="none" w:sz="0" w:space="0" w:color="auto"/>
        <w:right w:val="none" w:sz="0" w:space="0" w:color="auto"/>
      </w:divBdr>
    </w:div>
    <w:div w:id="342754558">
      <w:bodyDiv w:val="1"/>
      <w:marLeft w:val="0"/>
      <w:marRight w:val="0"/>
      <w:marTop w:val="0"/>
      <w:marBottom w:val="0"/>
      <w:divBdr>
        <w:top w:val="none" w:sz="0" w:space="0" w:color="auto"/>
        <w:left w:val="none" w:sz="0" w:space="0" w:color="auto"/>
        <w:bottom w:val="none" w:sz="0" w:space="0" w:color="auto"/>
        <w:right w:val="none" w:sz="0" w:space="0" w:color="auto"/>
      </w:divBdr>
    </w:div>
    <w:div w:id="736250521">
      <w:bodyDiv w:val="1"/>
      <w:marLeft w:val="0"/>
      <w:marRight w:val="0"/>
      <w:marTop w:val="0"/>
      <w:marBottom w:val="0"/>
      <w:divBdr>
        <w:top w:val="none" w:sz="0" w:space="0" w:color="auto"/>
        <w:left w:val="none" w:sz="0" w:space="0" w:color="auto"/>
        <w:bottom w:val="none" w:sz="0" w:space="0" w:color="auto"/>
        <w:right w:val="none" w:sz="0" w:space="0" w:color="auto"/>
      </w:divBdr>
    </w:div>
    <w:div w:id="768239259">
      <w:bodyDiv w:val="1"/>
      <w:marLeft w:val="0"/>
      <w:marRight w:val="0"/>
      <w:marTop w:val="0"/>
      <w:marBottom w:val="0"/>
      <w:divBdr>
        <w:top w:val="none" w:sz="0" w:space="0" w:color="auto"/>
        <w:left w:val="none" w:sz="0" w:space="0" w:color="auto"/>
        <w:bottom w:val="none" w:sz="0" w:space="0" w:color="auto"/>
        <w:right w:val="none" w:sz="0" w:space="0" w:color="auto"/>
      </w:divBdr>
    </w:div>
    <w:div w:id="1120342960">
      <w:bodyDiv w:val="1"/>
      <w:marLeft w:val="0"/>
      <w:marRight w:val="0"/>
      <w:marTop w:val="0"/>
      <w:marBottom w:val="0"/>
      <w:divBdr>
        <w:top w:val="none" w:sz="0" w:space="0" w:color="auto"/>
        <w:left w:val="none" w:sz="0" w:space="0" w:color="auto"/>
        <w:bottom w:val="none" w:sz="0" w:space="0" w:color="auto"/>
        <w:right w:val="none" w:sz="0" w:space="0" w:color="auto"/>
      </w:divBdr>
    </w:div>
    <w:div w:id="1425303255">
      <w:bodyDiv w:val="1"/>
      <w:marLeft w:val="0"/>
      <w:marRight w:val="0"/>
      <w:marTop w:val="0"/>
      <w:marBottom w:val="0"/>
      <w:divBdr>
        <w:top w:val="none" w:sz="0" w:space="0" w:color="auto"/>
        <w:left w:val="none" w:sz="0" w:space="0" w:color="auto"/>
        <w:bottom w:val="none" w:sz="0" w:space="0" w:color="auto"/>
        <w:right w:val="none" w:sz="0" w:space="0" w:color="auto"/>
      </w:divBdr>
    </w:div>
    <w:div w:id="1526678312">
      <w:bodyDiv w:val="1"/>
      <w:marLeft w:val="0"/>
      <w:marRight w:val="0"/>
      <w:marTop w:val="0"/>
      <w:marBottom w:val="0"/>
      <w:divBdr>
        <w:top w:val="none" w:sz="0" w:space="0" w:color="auto"/>
        <w:left w:val="none" w:sz="0" w:space="0" w:color="auto"/>
        <w:bottom w:val="none" w:sz="0" w:space="0" w:color="auto"/>
        <w:right w:val="none" w:sz="0" w:space="0" w:color="auto"/>
      </w:divBdr>
    </w:div>
    <w:div w:id="1542791402">
      <w:bodyDiv w:val="1"/>
      <w:marLeft w:val="0"/>
      <w:marRight w:val="0"/>
      <w:marTop w:val="0"/>
      <w:marBottom w:val="0"/>
      <w:divBdr>
        <w:top w:val="none" w:sz="0" w:space="0" w:color="auto"/>
        <w:left w:val="none" w:sz="0" w:space="0" w:color="auto"/>
        <w:bottom w:val="none" w:sz="0" w:space="0" w:color="auto"/>
        <w:right w:val="none" w:sz="0" w:space="0" w:color="auto"/>
      </w:divBdr>
    </w:div>
    <w:div w:id="1722552388">
      <w:bodyDiv w:val="1"/>
      <w:marLeft w:val="0"/>
      <w:marRight w:val="0"/>
      <w:marTop w:val="0"/>
      <w:marBottom w:val="0"/>
      <w:divBdr>
        <w:top w:val="none" w:sz="0" w:space="0" w:color="auto"/>
        <w:left w:val="none" w:sz="0" w:space="0" w:color="auto"/>
        <w:bottom w:val="none" w:sz="0" w:space="0" w:color="auto"/>
        <w:right w:val="none" w:sz="0" w:space="0" w:color="auto"/>
      </w:divBdr>
    </w:div>
    <w:div w:id="1728144281">
      <w:bodyDiv w:val="1"/>
      <w:marLeft w:val="0"/>
      <w:marRight w:val="0"/>
      <w:marTop w:val="0"/>
      <w:marBottom w:val="0"/>
      <w:divBdr>
        <w:top w:val="none" w:sz="0" w:space="0" w:color="auto"/>
        <w:left w:val="none" w:sz="0" w:space="0" w:color="auto"/>
        <w:bottom w:val="none" w:sz="0" w:space="0" w:color="auto"/>
        <w:right w:val="none" w:sz="0" w:space="0" w:color="auto"/>
      </w:divBdr>
    </w:div>
    <w:div w:id="19313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7058-5707-41A6-ABF3-32340112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LEBON Chloé</dc:creator>
  <cp:keywords/>
  <dc:description/>
  <cp:lastModifiedBy>PICARD Sandrine Laure</cp:lastModifiedBy>
  <cp:revision>7</cp:revision>
  <cp:lastPrinted>2022-02-09T09:21:00Z</cp:lastPrinted>
  <dcterms:created xsi:type="dcterms:W3CDTF">2022-02-17T04:26:00Z</dcterms:created>
  <dcterms:modified xsi:type="dcterms:W3CDTF">2023-05-02T12:33:00Z</dcterms:modified>
</cp:coreProperties>
</file>